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cs="仿宋"/>
          <w:color w:val="000000" w:themeColor="text1"/>
          <w:sz w:val="44"/>
          <w:szCs w:val="44"/>
          <w14:textFill>
            <w14:solidFill>
              <w14:schemeClr w14:val="tx1"/>
            </w14:solidFill>
          </w14:textFill>
        </w:rPr>
      </w:pPr>
      <w:r>
        <w:rPr>
          <w:rFonts w:hint="eastAsia" w:ascii="方正小标宋简体" w:hAnsi="黑体" w:eastAsia="方正小标宋简体" w:cs="仿宋"/>
          <w:color w:val="000000" w:themeColor="text1"/>
          <w:sz w:val="44"/>
          <w:szCs w:val="44"/>
          <w14:textFill>
            <w14:solidFill>
              <w14:schemeClr w14:val="tx1"/>
            </w14:solidFill>
          </w14:textFill>
        </w:rPr>
        <w:t>关于提前做好新版网上商城迭代更新</w:t>
      </w:r>
    </w:p>
    <w:p>
      <w:pPr>
        <w:jc w:val="center"/>
        <w:rPr>
          <w:rFonts w:ascii="方正小标宋简体" w:hAnsi="黑体" w:eastAsia="方正小标宋简体" w:cs="仿宋"/>
          <w:color w:val="000000" w:themeColor="text1"/>
          <w:sz w:val="44"/>
          <w:szCs w:val="44"/>
          <w14:textFill>
            <w14:solidFill>
              <w14:schemeClr w14:val="tx1"/>
            </w14:solidFill>
          </w14:textFill>
        </w:rPr>
      </w:pPr>
      <w:r>
        <w:rPr>
          <w:rFonts w:hint="eastAsia" w:ascii="方正小标宋简体" w:hAnsi="黑体" w:eastAsia="方正小标宋简体" w:cs="仿宋"/>
          <w:color w:val="000000" w:themeColor="text1"/>
          <w:sz w:val="44"/>
          <w:szCs w:val="44"/>
          <w14:textFill>
            <w14:solidFill>
              <w14:schemeClr w14:val="tx1"/>
            </w14:solidFill>
          </w14:textFill>
        </w:rPr>
        <w:t>及供应商迁移有关准备工作的通知</w:t>
      </w:r>
    </w:p>
    <w:p>
      <w:pPr>
        <w:rPr>
          <w:rFonts w:ascii="仿宋_GB2312" w:hAnsi="仿宋" w:eastAsia="仿宋_GB2312" w:cs="仿宋"/>
          <w:color w:val="000000" w:themeColor="text1"/>
          <w:sz w:val="32"/>
          <w:szCs w:val="32"/>
          <w14:textFill>
            <w14:solidFill>
              <w14:schemeClr w14:val="tx1"/>
            </w14:solidFill>
          </w14:textFill>
        </w:rPr>
      </w:pPr>
    </w:p>
    <w:p>
      <w:pPr>
        <w:rPr>
          <w:rFonts w:ascii="仿宋_GB2312" w:hAnsi="仿宋" w:eastAsia="仿宋_GB2312" w:cs="仿宋"/>
          <w:color w:val="auto"/>
          <w:sz w:val="32"/>
          <w:szCs w:val="32"/>
        </w:rPr>
      </w:pPr>
      <w:bookmarkStart w:id="0" w:name="_GoBack"/>
      <w:r>
        <w:rPr>
          <w:rFonts w:hint="eastAsia" w:ascii="仿宋_GB2312" w:hAnsi="仿宋" w:eastAsia="仿宋_GB2312" w:cs="仿宋"/>
          <w:color w:val="auto"/>
          <w:sz w:val="32"/>
          <w:szCs w:val="32"/>
        </w:rPr>
        <w:t>各入驻商城供应商：</w:t>
      </w:r>
    </w:p>
    <w:p>
      <w:pPr>
        <w:ind w:firstLine="660"/>
        <w:rPr>
          <w:rFonts w:ascii="仿宋_GB2312" w:hAnsi="仿宋" w:eastAsia="仿宋_GB2312" w:cs="仿宋"/>
          <w:color w:val="auto"/>
          <w:sz w:val="32"/>
          <w:szCs w:val="32"/>
        </w:rPr>
      </w:pPr>
      <w:r>
        <w:rPr>
          <w:rFonts w:hint="eastAsia" w:ascii="仿宋_GB2312" w:hAnsi="仿宋" w:eastAsia="仿宋_GB2312" w:cs="仿宋"/>
          <w:color w:val="auto"/>
          <w:sz w:val="32"/>
          <w:szCs w:val="32"/>
        </w:rPr>
        <w:t>为保障齐鲁云采山东省政府采购网上商城安全、稳定、高效运行，维护网络安全和采购秩序，丰富系统功能应用，进一步改善用户使用体验，我们对系统进行了全面优化升级，拟于1月中旬上线试运行新版商城，试运行期结束后，将关闭旧版商城在线交易功能。已入驻旧版商城的供应商，如继续参与商城采购活动，可按照新版商城供应商征集公告要求（将于近期另行发布）免费向新版商城迁移，现将有关事项通知如下：</w:t>
      </w:r>
    </w:p>
    <w:p>
      <w:pPr>
        <w:ind w:firstLine="660"/>
        <w:rPr>
          <w:rFonts w:ascii="仿宋" w:hAnsi="仿宋" w:eastAsia="仿宋" w:cs="___WRD_EMBED_SUB_42"/>
          <w:color w:val="auto"/>
          <w:sz w:val="32"/>
          <w:szCs w:val="32"/>
        </w:rPr>
      </w:pPr>
      <w:r>
        <w:rPr>
          <w:rFonts w:hint="eastAsia" w:ascii="仿宋_GB2312" w:hAnsi="仿宋" w:eastAsia="仿宋_GB2312" w:cs="仿宋"/>
          <w:color w:val="auto"/>
          <w:sz w:val="32"/>
          <w:szCs w:val="32"/>
        </w:rPr>
        <w:t>为降低供应商参与商城交易活动成本，</w:t>
      </w:r>
      <w:r>
        <w:rPr>
          <w:rFonts w:hint="eastAsia" w:ascii="仿宋" w:hAnsi="仿宋" w:eastAsia="仿宋" w:cs="___WRD_EMBED_SUB_42"/>
          <w:color w:val="auto"/>
          <w:sz w:val="32"/>
          <w:szCs w:val="32"/>
        </w:rPr>
        <w:t>新版商城定制商品品目的供应商角色权限保持不变，标准商品品目的供应商角色在厂商、代理商、电商基础上增加了经销商角色，经销商无需厂商授权委托，可在保证商品原厂质量和服务的前提下，自行上架销售商品。经销商与电商享有同等的商品上架销售权利，不同点在于经销商使用新版商城既有的商品维护管理功能上架商品，电商通过自营电子商务平台系统对接方式上架商品。</w:t>
      </w:r>
      <w:r>
        <w:rPr>
          <w:rFonts w:hint="eastAsia" w:ascii="仿宋_GB2312" w:hAnsi="仿宋" w:eastAsia="仿宋_GB2312" w:cs="仿宋"/>
          <w:color w:val="auto"/>
          <w:sz w:val="32"/>
          <w:szCs w:val="32"/>
        </w:rPr>
        <w:t>禁止假借电商名义通过购买不具备网络安全防护措施的电子商务平台或第三方插件等非正规形式，上架无供货能力或非正规货源渠道的商品。</w:t>
      </w:r>
      <w:r>
        <w:rPr>
          <w:rFonts w:hint="eastAsia" w:ascii="仿宋" w:hAnsi="仿宋" w:eastAsia="仿宋" w:cs="___WRD_EMBED_SUB_42"/>
          <w:color w:val="auto"/>
          <w:sz w:val="32"/>
          <w:szCs w:val="32"/>
        </w:rPr>
        <w:t>建议自身没有电子商务平台安全运营能力的电商可免费转为经销商角色，迁移到新版商城。所有供应商</w:t>
      </w:r>
      <w:r>
        <w:rPr>
          <w:rFonts w:hint="eastAsia" w:ascii="仿宋_GB2312" w:hAnsi="仿宋" w:eastAsia="仿宋_GB2312" w:cs="仿宋"/>
          <w:color w:val="auto"/>
          <w:sz w:val="32"/>
          <w:szCs w:val="32"/>
        </w:rPr>
        <w:t>均应根据《“齐鲁云采”山东省政府采购网上商城商品库管理细则（试行）》有关要求，按照新版商城升级后的标准化商品参数格式，提供完整、准确、有效的商品信息。</w:t>
      </w:r>
    </w:p>
    <w:p>
      <w:pPr>
        <w:pStyle w:val="7"/>
        <w:shd w:val="clear" w:color="auto" w:fill="FFFFFF"/>
        <w:spacing w:before="0" w:beforeAutospacing="0" w:after="0" w:afterAutospacing="0" w:line="450" w:lineRule="atLeast"/>
        <w:ind w:firstLine="640"/>
        <w:rPr>
          <w:rFonts w:ascii="仿宋_GB2312" w:hAnsi="仿宋" w:eastAsia="仿宋_GB2312" w:cs="仿宋"/>
          <w:color w:val="auto"/>
          <w:sz w:val="32"/>
          <w:szCs w:val="32"/>
        </w:rPr>
      </w:pPr>
      <w:r>
        <w:rPr>
          <w:rFonts w:hint="eastAsia" w:ascii="仿宋_GB2312" w:hAnsi="仿宋" w:eastAsia="仿宋_GB2312" w:cs="仿宋"/>
          <w:color w:val="auto"/>
          <w:sz w:val="32"/>
          <w:szCs w:val="32"/>
        </w:rPr>
        <w:t>网上商城将继续</w:t>
      </w:r>
      <w:r>
        <w:rPr>
          <w:rFonts w:hint="eastAsia" w:ascii="仿宋_GB2312" w:hAnsi="仿宋" w:eastAsia="仿宋_GB2312" w:cs="仿宋"/>
          <w:color w:val="auto"/>
          <w:kern w:val="2"/>
          <w:sz w:val="32"/>
          <w:szCs w:val="32"/>
        </w:rPr>
        <w:t>坚持公共服务</w:t>
      </w:r>
      <w:r>
        <w:rPr>
          <w:rFonts w:hint="eastAsia" w:ascii="仿宋_GB2312" w:hAnsi="仿宋" w:eastAsia="仿宋_GB2312" w:cs="仿宋"/>
          <w:color w:val="auto"/>
          <w:sz w:val="32"/>
          <w:szCs w:val="32"/>
        </w:rPr>
        <w:t>平台</w:t>
      </w:r>
      <w:r>
        <w:rPr>
          <w:rFonts w:hint="eastAsia" w:ascii="仿宋_GB2312" w:hAnsi="仿宋" w:eastAsia="仿宋_GB2312" w:cs="仿宋"/>
          <w:color w:val="auto"/>
          <w:kern w:val="2"/>
          <w:sz w:val="32"/>
          <w:szCs w:val="32"/>
        </w:rPr>
        <w:t>定位，供应商入驻、上架商品、采购交易等流程均不收取任何</w:t>
      </w:r>
      <w:r>
        <w:rPr>
          <w:rFonts w:hint="eastAsia" w:ascii="仿宋_GB2312" w:hAnsi="仿宋" w:eastAsia="仿宋_GB2312" w:cs="仿宋"/>
          <w:color w:val="auto"/>
          <w:sz w:val="32"/>
          <w:szCs w:val="32"/>
        </w:rPr>
        <w:t>费用。山东省各级公共资源交易中心（政府采购中心）</w:t>
      </w:r>
      <w:r>
        <w:rPr>
          <w:rFonts w:ascii="仿宋_GB2312" w:hAnsi="仿宋" w:eastAsia="仿宋_GB2312" w:cs="仿宋"/>
          <w:color w:val="auto"/>
          <w:sz w:val="32"/>
          <w:szCs w:val="32"/>
        </w:rPr>
        <w:t>从未与任何第三方</w:t>
      </w:r>
      <w:r>
        <w:rPr>
          <w:rFonts w:hint="eastAsia" w:ascii="仿宋_GB2312" w:hAnsi="仿宋" w:eastAsia="仿宋_GB2312" w:cs="仿宋"/>
          <w:color w:val="auto"/>
          <w:sz w:val="32"/>
          <w:szCs w:val="32"/>
        </w:rPr>
        <w:t>机构合作提供网上商城有偿代办入驻服务，也从</w:t>
      </w:r>
      <w:r>
        <w:rPr>
          <w:rFonts w:ascii="仿宋_GB2312" w:hAnsi="仿宋" w:eastAsia="仿宋_GB2312" w:cs="仿宋"/>
          <w:color w:val="auto"/>
          <w:sz w:val="32"/>
          <w:szCs w:val="32"/>
        </w:rPr>
        <w:t>未指定、推荐任何第三方电子商务平台开发公司</w:t>
      </w:r>
      <w:r>
        <w:rPr>
          <w:rFonts w:hint="eastAsia" w:ascii="仿宋_GB2312" w:hAnsi="仿宋" w:eastAsia="仿宋_GB2312" w:cs="仿宋"/>
          <w:color w:val="auto"/>
          <w:sz w:val="32"/>
          <w:szCs w:val="32"/>
        </w:rPr>
        <w:t>提供网上商城相关的软件平台开发及对接服务</w:t>
      </w:r>
      <w:r>
        <w:rPr>
          <w:rFonts w:ascii="仿宋_GB2312" w:hAnsi="仿宋" w:eastAsia="仿宋_GB2312" w:cs="仿宋"/>
          <w:color w:val="auto"/>
          <w:sz w:val="32"/>
          <w:szCs w:val="32"/>
        </w:rPr>
        <w:t>。请各供应商提高警惕，谨防上当受骗。</w:t>
      </w:r>
      <w:r>
        <w:rPr>
          <w:rFonts w:hint="eastAsia" w:ascii="仿宋_GB2312" w:hAnsi="仿宋" w:eastAsia="仿宋_GB2312" w:cs="仿宋"/>
          <w:color w:val="auto"/>
          <w:sz w:val="32"/>
          <w:szCs w:val="32"/>
        </w:rPr>
        <w:t>如购买无安全保障措施的电子商务平台用于对接商城，影响商城安全稳定运行或干扰、破坏采购秩序的，将根据《中华人民共和国网络安全法》等相关法律法规规定追究平台主办单位法律责任。</w:t>
      </w:r>
    </w:p>
    <w:p>
      <w:pPr>
        <w:pStyle w:val="7"/>
        <w:shd w:val="clear" w:color="auto" w:fill="FFFFFF"/>
        <w:spacing w:before="0" w:beforeAutospacing="0" w:after="0" w:afterAutospacing="0" w:line="450" w:lineRule="atLeast"/>
        <w:ind w:firstLine="640"/>
        <w:rPr>
          <w:rFonts w:ascii="仿宋_GB2312" w:hAnsi="仿宋" w:eastAsia="仿宋_GB2312" w:cs="仿宋"/>
          <w:color w:val="auto"/>
          <w:sz w:val="32"/>
          <w:szCs w:val="32"/>
        </w:rPr>
      </w:pPr>
      <w:r>
        <w:rPr>
          <w:rFonts w:hint="eastAsia" w:ascii="仿宋_GB2312" w:hAnsi="仿宋" w:eastAsia="仿宋_GB2312" w:cs="仿宋"/>
          <w:color w:val="auto"/>
          <w:sz w:val="32"/>
          <w:szCs w:val="32"/>
        </w:rPr>
        <w:t>本通知为商城迭代更新的预备通知，具体新版商城开通及供应商征集迁移办理流程以后续正式发布的通知公告为准，敬请留意查看。</w:t>
      </w:r>
    </w:p>
    <w:p>
      <w:pPr>
        <w:pStyle w:val="7"/>
        <w:shd w:val="clear" w:color="auto" w:fill="FFFFFF"/>
        <w:spacing w:before="0" w:beforeAutospacing="0" w:after="0" w:afterAutospacing="0" w:line="450" w:lineRule="atLeast"/>
        <w:ind w:firstLine="640"/>
        <w:rPr>
          <w:rFonts w:ascii="仿宋_GB2312" w:hAnsi="仿宋" w:eastAsia="仿宋_GB2312" w:cs="仿宋"/>
          <w:color w:val="auto"/>
          <w:sz w:val="32"/>
          <w:szCs w:val="32"/>
        </w:rPr>
      </w:pPr>
    </w:p>
    <w:p>
      <w:pPr>
        <w:pStyle w:val="7"/>
        <w:shd w:val="clear" w:color="auto" w:fill="FFFFFF"/>
        <w:spacing w:before="0" w:beforeAutospacing="0" w:after="0" w:afterAutospacing="0" w:line="450" w:lineRule="atLeast"/>
        <w:ind w:firstLine="640"/>
        <w:rPr>
          <w:rFonts w:ascii="仿宋_GB2312" w:hAnsi="仿宋" w:eastAsia="仿宋_GB2312" w:cs="仿宋"/>
          <w:color w:val="auto"/>
          <w:sz w:val="32"/>
          <w:szCs w:val="32"/>
        </w:rPr>
      </w:pPr>
      <w:r>
        <w:rPr>
          <w:rFonts w:hint="eastAsia" w:ascii="仿宋_GB2312" w:hAnsi="仿宋" w:eastAsia="仿宋_GB2312" w:cs="仿宋"/>
          <w:color w:val="auto"/>
          <w:sz w:val="32"/>
          <w:szCs w:val="32"/>
        </w:rPr>
        <w:t>附件：新版商城电商迁移及系统对接规范要求</w:t>
      </w:r>
    </w:p>
    <w:p>
      <w:pPr>
        <w:pStyle w:val="7"/>
        <w:shd w:val="clear" w:color="auto" w:fill="FFFFFF"/>
        <w:spacing w:before="0" w:beforeAutospacing="0" w:after="0" w:afterAutospacing="0" w:line="450" w:lineRule="atLeast"/>
        <w:ind w:firstLine="640"/>
        <w:rPr>
          <w:rFonts w:ascii="仿宋_GB2312" w:hAnsi="仿宋" w:eastAsia="仿宋_GB2312" w:cs="仿宋"/>
          <w:color w:val="auto"/>
          <w:sz w:val="32"/>
          <w:szCs w:val="32"/>
        </w:rPr>
      </w:pPr>
      <w:r>
        <w:rPr>
          <w:rFonts w:hint="eastAsia" w:ascii="仿宋_GB2312" w:hAnsi="仿宋" w:eastAsia="仿宋_GB2312" w:cs="仿宋"/>
          <w:color w:val="auto"/>
          <w:sz w:val="32"/>
          <w:szCs w:val="32"/>
        </w:rPr>
        <w:t xml:space="preserve"> </w:t>
      </w:r>
      <w:r>
        <w:rPr>
          <w:rFonts w:ascii="仿宋_GB2312" w:hAnsi="仿宋" w:eastAsia="仿宋_GB2312" w:cs="仿宋"/>
          <w:color w:val="auto"/>
          <w:sz w:val="32"/>
          <w:szCs w:val="32"/>
        </w:rPr>
        <w:t xml:space="preserve">                     </w:t>
      </w:r>
    </w:p>
    <w:p>
      <w:pPr>
        <w:pStyle w:val="7"/>
        <w:shd w:val="clear" w:color="auto" w:fill="FFFFFF"/>
        <w:spacing w:before="0" w:beforeAutospacing="0" w:after="0" w:afterAutospacing="0" w:line="450" w:lineRule="atLeast"/>
        <w:ind w:firstLine="4480" w:firstLineChars="1400"/>
        <w:rPr>
          <w:rFonts w:ascii="仿宋_GB2312" w:hAnsi="仿宋" w:eastAsia="仿宋_GB2312" w:cs="仿宋"/>
          <w:color w:val="auto"/>
          <w:sz w:val="32"/>
          <w:szCs w:val="32"/>
        </w:rPr>
      </w:pPr>
      <w:r>
        <w:rPr>
          <w:rFonts w:ascii="仿宋_GB2312" w:hAnsi="仿宋" w:eastAsia="仿宋_GB2312" w:cs="仿宋"/>
          <w:color w:val="auto"/>
          <w:sz w:val="32"/>
          <w:szCs w:val="32"/>
        </w:rPr>
        <w:t xml:space="preserve">    </w:t>
      </w:r>
      <w:r>
        <w:rPr>
          <w:rFonts w:hint="eastAsia" w:ascii="仿宋_GB2312" w:hAnsi="仿宋" w:eastAsia="仿宋_GB2312" w:cs="仿宋"/>
          <w:color w:val="auto"/>
          <w:sz w:val="32"/>
          <w:szCs w:val="32"/>
        </w:rPr>
        <w:t>山东省政府采购中心</w:t>
      </w:r>
    </w:p>
    <w:p>
      <w:pPr>
        <w:pStyle w:val="7"/>
        <w:shd w:val="clear" w:color="auto" w:fill="FFFFFF"/>
        <w:spacing w:before="0" w:beforeAutospacing="0" w:after="0" w:afterAutospacing="0" w:line="450" w:lineRule="atLeast"/>
        <w:ind w:firstLine="640"/>
        <w:rPr>
          <w:rFonts w:ascii="仿宋_GB2312" w:hAnsi="仿宋" w:eastAsia="仿宋_GB2312" w:cs="仿宋"/>
          <w:color w:val="auto"/>
          <w:sz w:val="32"/>
          <w:szCs w:val="32"/>
        </w:rPr>
      </w:pPr>
      <w:r>
        <w:rPr>
          <w:rFonts w:hint="eastAsia" w:ascii="仿宋_GB2312" w:hAnsi="仿宋" w:eastAsia="仿宋_GB2312" w:cs="仿宋"/>
          <w:color w:val="auto"/>
          <w:sz w:val="32"/>
          <w:szCs w:val="32"/>
        </w:rPr>
        <w:t xml:space="preserve"> </w:t>
      </w:r>
      <w:r>
        <w:rPr>
          <w:rFonts w:ascii="仿宋_GB2312" w:hAnsi="仿宋" w:eastAsia="仿宋_GB2312" w:cs="仿宋"/>
          <w:color w:val="auto"/>
          <w:sz w:val="32"/>
          <w:szCs w:val="32"/>
        </w:rPr>
        <w:t xml:space="preserve">                             2024</w:t>
      </w:r>
      <w:r>
        <w:rPr>
          <w:rFonts w:hint="eastAsia" w:ascii="仿宋_GB2312" w:hAnsi="仿宋" w:eastAsia="仿宋_GB2312" w:cs="仿宋"/>
          <w:color w:val="auto"/>
          <w:sz w:val="32"/>
          <w:szCs w:val="32"/>
        </w:rPr>
        <w:t>年1月10日</w:t>
      </w:r>
    </w:p>
    <w:p>
      <w:pPr>
        <w:pStyle w:val="7"/>
        <w:shd w:val="clear" w:color="auto" w:fill="FFFFFF"/>
        <w:spacing w:before="0" w:beforeAutospacing="0" w:after="0" w:afterAutospacing="0" w:line="450" w:lineRule="atLeast"/>
        <w:rPr>
          <w:rFonts w:ascii="仿宋_GB2312" w:hAnsi="仿宋" w:eastAsia="仿宋_GB2312" w:cs="仿宋"/>
          <w:color w:val="auto"/>
          <w:sz w:val="32"/>
          <w:szCs w:val="32"/>
        </w:rPr>
      </w:pPr>
    </w:p>
    <w:p>
      <w:pPr>
        <w:pStyle w:val="7"/>
        <w:shd w:val="clear" w:color="auto" w:fill="FFFFFF"/>
        <w:spacing w:before="0" w:beforeAutospacing="0" w:after="0" w:afterAutospacing="0" w:line="450" w:lineRule="atLeast"/>
        <w:rPr>
          <w:rFonts w:ascii="仿宋_GB2312" w:hAnsi="仿宋" w:eastAsia="仿宋_GB2312" w:cs="仿宋"/>
          <w:color w:val="auto"/>
          <w:sz w:val="32"/>
          <w:szCs w:val="32"/>
        </w:rPr>
      </w:pPr>
    </w:p>
    <w:p>
      <w:pPr>
        <w:pStyle w:val="7"/>
        <w:shd w:val="clear" w:color="auto" w:fill="FFFFFF"/>
        <w:spacing w:before="0" w:beforeAutospacing="0" w:after="0" w:afterAutospacing="0" w:line="450" w:lineRule="atLeast"/>
        <w:rPr>
          <w:rFonts w:ascii="仿宋_GB2312" w:hAnsi="仿宋" w:eastAsia="仿宋_GB2312" w:cs="仿宋"/>
          <w:color w:val="auto"/>
          <w:sz w:val="32"/>
          <w:szCs w:val="32"/>
        </w:rPr>
      </w:pPr>
    </w:p>
    <w:p>
      <w:pPr>
        <w:pStyle w:val="7"/>
        <w:shd w:val="clear" w:color="auto" w:fill="FFFFFF"/>
        <w:spacing w:before="0" w:beforeAutospacing="0" w:after="0" w:afterAutospacing="0" w:line="450" w:lineRule="atLeast"/>
        <w:rPr>
          <w:rFonts w:ascii="仿宋_GB2312" w:hAnsi="仿宋" w:eastAsia="仿宋_GB2312" w:cs="仿宋"/>
          <w:color w:val="auto"/>
          <w:sz w:val="32"/>
          <w:szCs w:val="32"/>
        </w:rPr>
      </w:pPr>
    </w:p>
    <w:p>
      <w:pPr>
        <w:pStyle w:val="7"/>
        <w:shd w:val="clear" w:color="auto" w:fill="FFFFFF"/>
        <w:spacing w:before="0" w:beforeAutospacing="0" w:after="0" w:afterAutospacing="0" w:line="450" w:lineRule="atLeast"/>
        <w:rPr>
          <w:rFonts w:ascii="仿宋_GB2312" w:hAnsi="仿宋" w:eastAsia="仿宋_GB2312" w:cs="仿宋"/>
          <w:color w:val="auto"/>
          <w:sz w:val="32"/>
          <w:szCs w:val="32"/>
        </w:rPr>
      </w:pPr>
    </w:p>
    <w:p>
      <w:pPr>
        <w:pStyle w:val="7"/>
        <w:shd w:val="clear" w:color="auto" w:fill="FFFFFF"/>
        <w:spacing w:before="0" w:beforeAutospacing="0" w:after="0" w:afterAutospacing="0" w:line="450" w:lineRule="atLeast"/>
        <w:rPr>
          <w:rFonts w:ascii="仿宋_GB2312" w:hAnsi="仿宋" w:eastAsia="仿宋_GB2312" w:cs="仿宋"/>
          <w:color w:val="auto"/>
          <w:sz w:val="32"/>
          <w:szCs w:val="32"/>
        </w:rPr>
      </w:pPr>
    </w:p>
    <w:p>
      <w:pPr>
        <w:pStyle w:val="7"/>
        <w:shd w:val="clear" w:color="auto" w:fill="FFFFFF"/>
        <w:spacing w:before="0" w:beforeAutospacing="0" w:after="0" w:afterAutospacing="0" w:line="450" w:lineRule="atLeast"/>
        <w:rPr>
          <w:rFonts w:ascii="仿宋_GB2312" w:hAnsi="仿宋" w:eastAsia="仿宋_GB2312" w:cs="仿宋"/>
          <w:color w:val="auto"/>
          <w:sz w:val="32"/>
          <w:szCs w:val="32"/>
        </w:rPr>
      </w:pPr>
    </w:p>
    <w:p>
      <w:pPr>
        <w:pStyle w:val="7"/>
        <w:shd w:val="clear" w:color="auto" w:fill="FFFFFF"/>
        <w:spacing w:before="0" w:beforeAutospacing="0" w:after="0" w:afterAutospacing="0" w:line="450" w:lineRule="atLeast"/>
        <w:rPr>
          <w:rFonts w:ascii="仿宋_GB2312" w:hAnsi="仿宋" w:eastAsia="仿宋_GB2312" w:cs="仿宋"/>
          <w:color w:val="auto"/>
          <w:sz w:val="32"/>
          <w:szCs w:val="32"/>
        </w:rPr>
      </w:pPr>
    </w:p>
    <w:p>
      <w:pPr>
        <w:pStyle w:val="7"/>
        <w:shd w:val="clear" w:color="auto" w:fill="FFFFFF"/>
        <w:spacing w:before="0" w:beforeAutospacing="0" w:after="0" w:afterAutospacing="0" w:line="450" w:lineRule="atLeast"/>
        <w:rPr>
          <w:rFonts w:ascii="仿宋_GB2312" w:hAnsi="仿宋" w:eastAsia="仿宋_GB2312" w:cs="仿宋"/>
          <w:color w:val="auto"/>
          <w:sz w:val="32"/>
          <w:szCs w:val="32"/>
        </w:rPr>
      </w:pPr>
    </w:p>
    <w:p>
      <w:pPr>
        <w:pStyle w:val="7"/>
        <w:shd w:val="clear" w:color="auto" w:fill="FFFFFF"/>
        <w:spacing w:before="0" w:beforeAutospacing="0" w:after="0" w:afterAutospacing="0" w:line="450" w:lineRule="atLeast"/>
        <w:rPr>
          <w:rFonts w:ascii="仿宋_GB2312" w:hAnsi="仿宋" w:eastAsia="仿宋_GB2312" w:cs="仿宋"/>
          <w:color w:val="auto"/>
          <w:sz w:val="32"/>
          <w:szCs w:val="32"/>
        </w:rPr>
      </w:pPr>
    </w:p>
    <w:p>
      <w:pPr>
        <w:pStyle w:val="7"/>
        <w:shd w:val="clear" w:color="auto" w:fill="FFFFFF"/>
        <w:spacing w:before="0" w:beforeAutospacing="0" w:after="0" w:afterAutospacing="0" w:line="450" w:lineRule="atLeast"/>
        <w:rPr>
          <w:rFonts w:ascii="仿宋_GB2312" w:hAnsi="仿宋" w:eastAsia="仿宋_GB2312" w:cs="仿宋"/>
          <w:color w:val="auto"/>
          <w:sz w:val="32"/>
          <w:szCs w:val="32"/>
        </w:rPr>
      </w:pPr>
    </w:p>
    <w:p>
      <w:pPr>
        <w:pStyle w:val="7"/>
        <w:shd w:val="clear" w:color="auto" w:fill="FFFFFF"/>
        <w:spacing w:before="0" w:beforeAutospacing="0" w:after="0" w:afterAutospacing="0" w:line="450" w:lineRule="atLeast"/>
        <w:rPr>
          <w:rFonts w:ascii="仿宋_GB2312" w:hAnsi="仿宋" w:eastAsia="仿宋_GB2312" w:cs="仿宋"/>
          <w:color w:val="auto"/>
          <w:sz w:val="32"/>
          <w:szCs w:val="32"/>
        </w:rPr>
      </w:pPr>
    </w:p>
    <w:p>
      <w:pPr>
        <w:pStyle w:val="7"/>
        <w:shd w:val="clear" w:color="auto" w:fill="FFFFFF"/>
        <w:spacing w:before="0" w:beforeAutospacing="0" w:after="0" w:afterAutospacing="0" w:line="450" w:lineRule="atLeast"/>
        <w:rPr>
          <w:rFonts w:ascii="仿宋_GB2312" w:hAnsi="仿宋" w:eastAsia="仿宋_GB2312" w:cs="仿宋"/>
          <w:color w:val="auto"/>
          <w:sz w:val="32"/>
          <w:szCs w:val="32"/>
        </w:rPr>
      </w:pPr>
    </w:p>
    <w:p>
      <w:pPr>
        <w:pStyle w:val="7"/>
        <w:shd w:val="clear" w:color="auto" w:fill="FFFFFF"/>
        <w:spacing w:before="0" w:beforeAutospacing="0" w:after="0" w:afterAutospacing="0" w:line="450" w:lineRule="atLeast"/>
        <w:rPr>
          <w:rFonts w:ascii="仿宋_GB2312" w:hAnsi="仿宋" w:eastAsia="仿宋_GB2312" w:cs="仿宋"/>
          <w:color w:val="auto"/>
          <w:sz w:val="32"/>
          <w:szCs w:val="32"/>
        </w:rPr>
      </w:pPr>
    </w:p>
    <w:p>
      <w:pPr>
        <w:pStyle w:val="7"/>
        <w:shd w:val="clear" w:color="auto" w:fill="FFFFFF"/>
        <w:spacing w:before="0" w:beforeAutospacing="0" w:after="0" w:afterAutospacing="0" w:line="450" w:lineRule="atLeast"/>
        <w:rPr>
          <w:rFonts w:ascii="仿宋_GB2312" w:hAnsi="仿宋" w:eastAsia="仿宋_GB2312" w:cs="仿宋"/>
          <w:color w:val="auto"/>
          <w:sz w:val="32"/>
          <w:szCs w:val="32"/>
        </w:rPr>
      </w:pPr>
    </w:p>
    <w:p>
      <w:pPr>
        <w:pStyle w:val="7"/>
        <w:shd w:val="clear" w:color="auto" w:fill="FFFFFF"/>
        <w:spacing w:before="0" w:beforeAutospacing="0" w:after="0" w:afterAutospacing="0" w:line="450" w:lineRule="atLeast"/>
        <w:rPr>
          <w:rFonts w:ascii="仿宋_GB2312" w:hAnsi="仿宋" w:eastAsia="仿宋_GB2312" w:cs="仿宋"/>
          <w:color w:val="auto"/>
          <w:sz w:val="32"/>
          <w:szCs w:val="32"/>
        </w:rPr>
      </w:pPr>
    </w:p>
    <w:p>
      <w:pPr>
        <w:pStyle w:val="7"/>
        <w:shd w:val="clear" w:color="auto" w:fill="FFFFFF"/>
        <w:spacing w:before="0" w:beforeAutospacing="0" w:after="0" w:afterAutospacing="0" w:line="450" w:lineRule="atLeast"/>
        <w:rPr>
          <w:rFonts w:ascii="仿宋_GB2312" w:hAnsi="仿宋" w:eastAsia="仿宋_GB2312" w:cs="仿宋"/>
          <w:color w:val="auto"/>
          <w:sz w:val="32"/>
          <w:szCs w:val="32"/>
        </w:rPr>
      </w:pPr>
    </w:p>
    <w:p>
      <w:pPr>
        <w:pStyle w:val="7"/>
        <w:shd w:val="clear" w:color="auto" w:fill="FFFFFF"/>
        <w:spacing w:before="0" w:beforeAutospacing="0" w:after="0" w:afterAutospacing="0" w:line="450" w:lineRule="atLeast"/>
        <w:rPr>
          <w:rFonts w:ascii="仿宋_GB2312" w:hAnsi="仿宋" w:eastAsia="仿宋_GB2312" w:cs="仿宋"/>
          <w:color w:val="auto"/>
          <w:sz w:val="32"/>
          <w:szCs w:val="32"/>
        </w:rPr>
      </w:pPr>
    </w:p>
    <w:p>
      <w:pPr>
        <w:pStyle w:val="7"/>
        <w:shd w:val="clear" w:color="auto" w:fill="FFFFFF"/>
        <w:spacing w:before="0" w:beforeAutospacing="0" w:after="0" w:afterAutospacing="0" w:line="450" w:lineRule="atLeast"/>
        <w:rPr>
          <w:rFonts w:ascii="仿宋_GB2312" w:hAnsi="仿宋" w:eastAsia="仿宋_GB2312" w:cs="仿宋"/>
          <w:color w:val="auto"/>
          <w:sz w:val="32"/>
          <w:szCs w:val="32"/>
        </w:rPr>
      </w:pPr>
    </w:p>
    <w:p>
      <w:pPr>
        <w:pStyle w:val="7"/>
        <w:shd w:val="clear" w:color="auto" w:fill="FFFFFF"/>
        <w:spacing w:before="0" w:beforeAutospacing="0" w:after="0" w:afterAutospacing="0" w:line="450" w:lineRule="atLeast"/>
        <w:rPr>
          <w:rFonts w:ascii="仿宋_GB2312" w:hAnsi="仿宋" w:eastAsia="仿宋_GB2312" w:cs="仿宋"/>
          <w:color w:val="auto"/>
          <w:sz w:val="32"/>
          <w:szCs w:val="32"/>
        </w:rPr>
      </w:pPr>
    </w:p>
    <w:p>
      <w:pPr>
        <w:pStyle w:val="7"/>
        <w:shd w:val="clear" w:color="auto" w:fill="FFFFFF"/>
        <w:spacing w:before="0" w:beforeAutospacing="0" w:after="0" w:afterAutospacing="0" w:line="450" w:lineRule="atLeast"/>
        <w:rPr>
          <w:rFonts w:ascii="仿宋_GB2312" w:hAnsi="仿宋" w:eastAsia="仿宋_GB2312" w:cs="仿宋"/>
          <w:color w:val="auto"/>
          <w:sz w:val="32"/>
          <w:szCs w:val="32"/>
        </w:rPr>
      </w:pPr>
      <w:r>
        <w:rPr>
          <w:rFonts w:hint="eastAsia" w:ascii="仿宋_GB2312" w:hAnsi="仿宋" w:eastAsia="仿宋_GB2312" w:cs="仿宋"/>
          <w:color w:val="auto"/>
          <w:sz w:val="32"/>
          <w:szCs w:val="32"/>
        </w:rPr>
        <w:t>附件</w:t>
      </w:r>
    </w:p>
    <w:p>
      <w:pPr>
        <w:pStyle w:val="7"/>
        <w:shd w:val="clear" w:color="auto" w:fill="FFFFFF"/>
        <w:spacing w:before="0" w:beforeAutospacing="0" w:after="0" w:afterAutospacing="0" w:line="450" w:lineRule="atLeast"/>
        <w:jc w:val="center"/>
        <w:rPr>
          <w:rFonts w:ascii="方正小标宋简体" w:eastAsia="方正小标宋简体"/>
          <w:color w:val="auto"/>
          <w:sz w:val="44"/>
          <w:szCs w:val="44"/>
        </w:rPr>
      </w:pPr>
      <w:r>
        <w:rPr>
          <w:rFonts w:hint="eastAsia" w:ascii="方正小标宋简体" w:eastAsia="方正小标宋简体"/>
          <w:color w:val="auto"/>
          <w:sz w:val="44"/>
          <w:szCs w:val="44"/>
        </w:rPr>
        <w:t>新版商城电商迁移及系统对接规范要求</w:t>
      </w:r>
    </w:p>
    <w:p>
      <w:pPr>
        <w:spacing w:line="540" w:lineRule="exact"/>
        <w:ind w:firstLine="640" w:firstLineChars="200"/>
        <w:rPr>
          <w:rFonts w:ascii="仿宋" w:hAnsi="仿宋" w:eastAsia="仿宋" w:cs="仿宋_GB2312"/>
          <w:color w:val="auto"/>
          <w:kern w:val="0"/>
          <w:sz w:val="32"/>
          <w:szCs w:val="32"/>
        </w:rPr>
      </w:pPr>
      <w:r>
        <w:rPr>
          <w:rFonts w:hint="eastAsia" w:ascii="仿宋_GB2312" w:hAnsi="仿宋" w:eastAsia="仿宋_GB2312" w:cs="仿宋"/>
          <w:color w:val="auto"/>
          <w:sz w:val="32"/>
          <w:szCs w:val="32"/>
        </w:rPr>
        <w:t>为提高新版商城网络安全保护能力，根据国家网络安全相关法律法规要求，新版商城进一步规范了电商系统对接安全要求，优化了对接接口规范。具备电子商务平台安全运营能力，且满足下列新版商城对接规范要求的供应商可以申请电商角色进行系统对接。已入驻旧版商城电商，在未开展等保测评的情况下，如继续以电商角色入驻新版商城，可容缺办理迁移，提供书面承诺，承诺最晚于</w:t>
      </w:r>
      <w:r>
        <w:rPr>
          <w:rFonts w:ascii="仿宋_GB2312" w:hAnsi="仿宋" w:eastAsia="仿宋_GB2312" w:cs="仿宋"/>
          <w:color w:val="auto"/>
          <w:sz w:val="32"/>
          <w:szCs w:val="32"/>
        </w:rPr>
        <w:t>2024</w:t>
      </w:r>
      <w:r>
        <w:rPr>
          <w:rFonts w:hint="eastAsia" w:ascii="仿宋_GB2312" w:hAnsi="仿宋" w:eastAsia="仿宋_GB2312" w:cs="仿宋"/>
          <w:color w:val="auto"/>
          <w:sz w:val="32"/>
          <w:szCs w:val="32"/>
        </w:rPr>
        <w:t>年</w:t>
      </w:r>
      <w:r>
        <w:rPr>
          <w:rFonts w:ascii="仿宋_GB2312" w:hAnsi="仿宋" w:eastAsia="仿宋_GB2312" w:cs="仿宋"/>
          <w:color w:val="auto"/>
          <w:sz w:val="32"/>
          <w:szCs w:val="32"/>
        </w:rPr>
        <w:t>7</w:t>
      </w:r>
      <w:r>
        <w:rPr>
          <w:rFonts w:hint="eastAsia" w:ascii="仿宋_GB2312" w:hAnsi="仿宋" w:eastAsia="仿宋_GB2312" w:cs="仿宋"/>
          <w:color w:val="auto"/>
          <w:sz w:val="32"/>
          <w:szCs w:val="32"/>
        </w:rPr>
        <w:t>月</w:t>
      </w:r>
      <w:r>
        <w:rPr>
          <w:rFonts w:ascii="仿宋_GB2312" w:hAnsi="仿宋" w:eastAsia="仿宋_GB2312" w:cs="仿宋"/>
          <w:color w:val="auto"/>
          <w:sz w:val="32"/>
          <w:szCs w:val="32"/>
        </w:rPr>
        <w:t>1日前，提交等保备案</w:t>
      </w:r>
      <w:r>
        <w:rPr>
          <w:rFonts w:hint="eastAsia" w:ascii="仿宋" w:hAnsi="仿宋" w:eastAsia="仿宋" w:cs="___WRD_EMBED_SUB_42"/>
          <w:color w:val="auto"/>
          <w:sz w:val="32"/>
          <w:szCs w:val="32"/>
        </w:rPr>
        <w:t>证明及测评报告，并在承诺期内保证电子商务平台的网络及信息安全，承诺期内发生信息安全事故的，或逾期不提供有效的</w:t>
      </w:r>
      <w:r>
        <w:rPr>
          <w:rFonts w:hint="eastAsia" w:ascii="仿宋_GB2312" w:hAnsi="仿宋" w:eastAsia="仿宋_GB2312" w:cs="仿宋"/>
          <w:color w:val="auto"/>
          <w:sz w:val="32"/>
          <w:szCs w:val="32"/>
        </w:rPr>
        <w:t>等保备案</w:t>
      </w:r>
      <w:r>
        <w:rPr>
          <w:rFonts w:hint="eastAsia" w:ascii="仿宋" w:hAnsi="仿宋" w:eastAsia="仿宋" w:cs="___WRD_EMBED_SUB_42"/>
          <w:color w:val="auto"/>
          <w:sz w:val="32"/>
          <w:szCs w:val="32"/>
        </w:rPr>
        <w:t>证明及测评报告的，将中断系统对接。</w:t>
      </w:r>
    </w:p>
    <w:p>
      <w:pPr>
        <w:spacing w:line="540" w:lineRule="exact"/>
        <w:ind w:firstLine="640" w:firstLineChars="200"/>
        <w:rPr>
          <w:rFonts w:ascii="仿宋" w:hAnsi="仿宋" w:eastAsia="仿宋" w:cs="仿宋_GB2312"/>
          <w:color w:val="auto"/>
          <w:kern w:val="0"/>
          <w:sz w:val="32"/>
          <w:szCs w:val="32"/>
        </w:rPr>
      </w:pPr>
      <w:r>
        <w:rPr>
          <w:rFonts w:ascii="仿宋" w:hAnsi="仿宋" w:eastAsia="仿宋" w:cs="仿宋_GB2312"/>
          <w:color w:val="auto"/>
          <w:kern w:val="0"/>
          <w:sz w:val="32"/>
          <w:szCs w:val="32"/>
        </w:rPr>
        <w:t>1.</w:t>
      </w:r>
      <w:r>
        <w:rPr>
          <w:rFonts w:hint="eastAsia" w:ascii="仿宋" w:hAnsi="仿宋" w:eastAsia="仿宋" w:cs="微软雅黑"/>
          <w:color w:val="auto"/>
          <w:kern w:val="0"/>
          <w:sz w:val="32"/>
          <w:szCs w:val="32"/>
        </w:rPr>
        <w:t>拥</w:t>
      </w:r>
      <w:r>
        <w:rPr>
          <w:rFonts w:hint="eastAsia" w:ascii="仿宋" w:hAnsi="仿宋" w:eastAsia="仿宋" w:cs="仿宋_GB2312"/>
          <w:color w:val="auto"/>
          <w:kern w:val="0"/>
          <w:sz w:val="32"/>
          <w:szCs w:val="32"/>
        </w:rPr>
        <w:t>有面向社会公开、独立、合法自营的</w:t>
      </w:r>
      <w:r>
        <w:rPr>
          <w:rFonts w:hint="eastAsia" w:ascii="仿宋" w:hAnsi="仿宋" w:eastAsia="仿宋" w:cs="微软雅黑"/>
          <w:color w:val="auto"/>
          <w:kern w:val="0"/>
          <w:sz w:val="32"/>
          <w:szCs w:val="32"/>
        </w:rPr>
        <w:t>电子</w:t>
      </w:r>
      <w:r>
        <w:rPr>
          <w:rFonts w:hint="eastAsia" w:ascii="仿宋" w:hAnsi="仿宋" w:eastAsia="仿宋" w:cs="仿宋_GB2312"/>
          <w:color w:val="auto"/>
          <w:kern w:val="0"/>
          <w:sz w:val="32"/>
          <w:szCs w:val="32"/>
        </w:rPr>
        <w:t>商务平</w:t>
      </w:r>
      <w:r>
        <w:rPr>
          <w:rFonts w:hint="eastAsia" w:ascii="仿宋" w:hAnsi="仿宋" w:eastAsia="仿宋" w:cs="微软雅黑"/>
          <w:color w:val="auto"/>
          <w:kern w:val="0"/>
          <w:sz w:val="32"/>
          <w:szCs w:val="32"/>
        </w:rPr>
        <w:t>台</w:t>
      </w:r>
      <w:r>
        <w:rPr>
          <w:rFonts w:hint="eastAsia" w:ascii="仿宋" w:hAnsi="仿宋" w:eastAsia="仿宋" w:cs="___WRD_EMBED_SUB_39"/>
          <w:color w:val="auto"/>
          <w:kern w:val="0"/>
          <w:sz w:val="32"/>
          <w:szCs w:val="32"/>
        </w:rPr>
        <w:t>，</w:t>
      </w:r>
      <w:r>
        <w:rPr>
          <w:rFonts w:hint="eastAsia" w:ascii="仿宋" w:hAnsi="仿宋" w:eastAsia="仿宋" w:cs="微软雅黑"/>
          <w:color w:val="auto"/>
          <w:kern w:val="0"/>
          <w:sz w:val="32"/>
          <w:szCs w:val="32"/>
        </w:rPr>
        <w:t>电子</w:t>
      </w:r>
      <w:r>
        <w:rPr>
          <w:rFonts w:hint="eastAsia" w:ascii="仿宋" w:hAnsi="仿宋" w:eastAsia="仿宋" w:cs="___WRD_EMBED_SUB_39"/>
          <w:color w:val="auto"/>
          <w:kern w:val="0"/>
          <w:sz w:val="32"/>
          <w:szCs w:val="32"/>
        </w:rPr>
        <w:t>商务</w:t>
      </w:r>
      <w:r>
        <w:rPr>
          <w:rFonts w:hint="eastAsia" w:ascii="仿宋" w:hAnsi="仿宋" w:eastAsia="仿宋" w:cs="仿宋_GB2312"/>
          <w:color w:val="auto"/>
          <w:kern w:val="0"/>
          <w:sz w:val="32"/>
          <w:szCs w:val="32"/>
        </w:rPr>
        <w:t>平</w:t>
      </w:r>
      <w:r>
        <w:rPr>
          <w:rFonts w:hint="eastAsia" w:ascii="仿宋" w:hAnsi="仿宋" w:eastAsia="仿宋" w:cs="微软雅黑"/>
          <w:color w:val="auto"/>
          <w:kern w:val="0"/>
          <w:sz w:val="32"/>
          <w:szCs w:val="32"/>
        </w:rPr>
        <w:t>台域</w:t>
      </w:r>
      <w:r>
        <w:rPr>
          <w:rFonts w:hint="eastAsia" w:ascii="仿宋" w:hAnsi="仿宋" w:eastAsia="仿宋" w:cs="___WRD_EMBED_SUB_39"/>
          <w:color w:val="auto"/>
          <w:kern w:val="0"/>
          <w:sz w:val="32"/>
          <w:szCs w:val="32"/>
        </w:rPr>
        <w:t>名</w:t>
      </w:r>
      <w:r>
        <w:rPr>
          <w:rFonts w:hint="eastAsia" w:ascii="仿宋" w:hAnsi="仿宋" w:eastAsia="仿宋" w:cs="微软雅黑"/>
          <w:color w:val="auto"/>
          <w:kern w:val="0"/>
          <w:sz w:val="32"/>
          <w:szCs w:val="32"/>
        </w:rPr>
        <w:t>绑</w:t>
      </w:r>
      <w:r>
        <w:rPr>
          <w:rFonts w:hint="eastAsia" w:ascii="仿宋" w:hAnsi="仿宋" w:eastAsia="仿宋" w:cs="___WRD_EMBED_SUB_39"/>
          <w:color w:val="auto"/>
          <w:kern w:val="0"/>
          <w:sz w:val="32"/>
          <w:szCs w:val="32"/>
        </w:rPr>
        <w:t>定独立的</w:t>
      </w:r>
      <w:r>
        <w:rPr>
          <w:rFonts w:hint="eastAsia" w:ascii="仿宋" w:hAnsi="仿宋" w:eastAsia="仿宋" w:cs="仿宋_GB2312"/>
          <w:color w:val="auto"/>
          <w:kern w:val="0"/>
          <w:sz w:val="32"/>
          <w:szCs w:val="32"/>
        </w:rPr>
        <w:t>IP</w:t>
      </w:r>
      <w:r>
        <w:rPr>
          <w:rFonts w:hint="eastAsia" w:ascii="仿宋" w:hAnsi="仿宋" w:eastAsia="仿宋" w:cs="微软雅黑"/>
          <w:color w:val="auto"/>
          <w:kern w:val="0"/>
          <w:sz w:val="32"/>
          <w:szCs w:val="32"/>
        </w:rPr>
        <w:t>地</w:t>
      </w:r>
      <w:r>
        <w:rPr>
          <w:rFonts w:hint="eastAsia" w:ascii="仿宋" w:hAnsi="仿宋" w:eastAsia="仿宋" w:cs="___WRD_EMBED_SUB_39"/>
          <w:color w:val="auto"/>
          <w:kern w:val="0"/>
          <w:sz w:val="32"/>
          <w:szCs w:val="32"/>
        </w:rPr>
        <w:t>址，不得与商城其他入驻</w:t>
      </w:r>
      <w:r>
        <w:rPr>
          <w:rFonts w:hint="eastAsia" w:ascii="仿宋" w:hAnsi="仿宋" w:eastAsia="仿宋" w:cs="微软雅黑"/>
          <w:color w:val="auto"/>
          <w:kern w:val="0"/>
          <w:sz w:val="32"/>
          <w:szCs w:val="32"/>
        </w:rPr>
        <w:t>电</w:t>
      </w:r>
      <w:r>
        <w:rPr>
          <w:rFonts w:hint="eastAsia" w:ascii="仿宋" w:hAnsi="仿宋" w:eastAsia="仿宋" w:cs="___WRD_EMBED_SUB_39"/>
          <w:color w:val="auto"/>
          <w:kern w:val="0"/>
          <w:sz w:val="32"/>
          <w:szCs w:val="32"/>
        </w:rPr>
        <w:t>商的</w:t>
      </w:r>
      <w:r>
        <w:rPr>
          <w:rFonts w:hint="eastAsia" w:ascii="仿宋" w:hAnsi="仿宋" w:eastAsia="仿宋" w:cs="微软雅黑"/>
          <w:color w:val="auto"/>
          <w:kern w:val="0"/>
          <w:sz w:val="32"/>
          <w:szCs w:val="32"/>
        </w:rPr>
        <w:t>电子</w:t>
      </w:r>
      <w:r>
        <w:rPr>
          <w:rFonts w:hint="eastAsia" w:ascii="仿宋" w:hAnsi="仿宋" w:eastAsia="仿宋" w:cs="___WRD_EMBED_SUB_39"/>
          <w:color w:val="auto"/>
          <w:kern w:val="0"/>
          <w:sz w:val="32"/>
          <w:szCs w:val="32"/>
        </w:rPr>
        <w:t>商务平</w:t>
      </w:r>
      <w:r>
        <w:rPr>
          <w:rFonts w:hint="eastAsia" w:ascii="仿宋" w:hAnsi="仿宋" w:eastAsia="仿宋" w:cs="微软雅黑"/>
          <w:color w:val="auto"/>
          <w:kern w:val="0"/>
          <w:sz w:val="32"/>
          <w:szCs w:val="32"/>
        </w:rPr>
        <w:t>台共享域名和</w:t>
      </w:r>
      <w:r>
        <w:rPr>
          <w:rFonts w:hint="eastAsia" w:ascii="仿宋" w:hAnsi="仿宋" w:eastAsia="仿宋" w:cs="仿宋_GB2312"/>
          <w:color w:val="auto"/>
          <w:kern w:val="0"/>
          <w:sz w:val="32"/>
          <w:szCs w:val="32"/>
        </w:rPr>
        <w:t>IP</w:t>
      </w:r>
      <w:r>
        <w:rPr>
          <w:rFonts w:hint="eastAsia" w:ascii="仿宋" w:hAnsi="仿宋" w:eastAsia="仿宋" w:cs="微软雅黑"/>
          <w:color w:val="auto"/>
          <w:kern w:val="0"/>
          <w:sz w:val="32"/>
          <w:szCs w:val="32"/>
        </w:rPr>
        <w:t>地</w:t>
      </w:r>
      <w:r>
        <w:rPr>
          <w:rFonts w:hint="eastAsia" w:ascii="仿宋" w:hAnsi="仿宋" w:eastAsia="仿宋" w:cs="___WRD_EMBED_SUB_39"/>
          <w:color w:val="auto"/>
          <w:kern w:val="0"/>
          <w:sz w:val="32"/>
          <w:szCs w:val="32"/>
        </w:rPr>
        <w:t>址；提供电子商务平台在</w:t>
      </w:r>
      <w:r>
        <w:rPr>
          <w:rFonts w:hint="eastAsia" w:ascii="仿宋" w:hAnsi="仿宋" w:eastAsia="仿宋" w:cs="微软雅黑"/>
          <w:color w:val="auto"/>
          <w:kern w:val="0"/>
          <w:sz w:val="32"/>
          <w:szCs w:val="32"/>
        </w:rPr>
        <w:t>工</w:t>
      </w:r>
      <w:r>
        <w:rPr>
          <w:rFonts w:hint="eastAsia" w:ascii="仿宋" w:hAnsi="仿宋" w:eastAsia="仿宋" w:cs="仿宋_GB2312"/>
          <w:color w:val="auto"/>
          <w:kern w:val="0"/>
          <w:sz w:val="32"/>
          <w:szCs w:val="32"/>
        </w:rPr>
        <w:t>业和信息</w:t>
      </w:r>
      <w:r>
        <w:rPr>
          <w:rFonts w:hint="eastAsia" w:ascii="仿宋" w:hAnsi="仿宋" w:eastAsia="仿宋" w:cs="微软雅黑"/>
          <w:color w:val="auto"/>
          <w:kern w:val="0"/>
          <w:sz w:val="32"/>
          <w:szCs w:val="32"/>
        </w:rPr>
        <w:t>化</w:t>
      </w:r>
      <w:r>
        <w:rPr>
          <w:rFonts w:hint="eastAsia" w:ascii="仿宋" w:hAnsi="仿宋" w:eastAsia="仿宋" w:cs="___WRD_EMBED_SUB_39"/>
          <w:color w:val="auto"/>
          <w:kern w:val="0"/>
          <w:sz w:val="32"/>
          <w:szCs w:val="32"/>
        </w:rPr>
        <w:t>部“</w:t>
      </w:r>
      <w:r>
        <w:rPr>
          <w:rFonts w:hint="eastAsia" w:ascii="仿宋" w:hAnsi="仿宋" w:eastAsia="仿宋" w:cs="仿宋_GB2312"/>
          <w:color w:val="auto"/>
          <w:kern w:val="0"/>
          <w:sz w:val="32"/>
          <w:szCs w:val="32"/>
        </w:rPr>
        <w:t>ICP/IP</w:t>
      </w:r>
      <w:r>
        <w:rPr>
          <w:rFonts w:hint="eastAsia" w:ascii="仿宋" w:hAnsi="仿宋" w:eastAsia="仿宋" w:cs="微软雅黑"/>
          <w:color w:val="auto"/>
          <w:kern w:val="0"/>
          <w:sz w:val="32"/>
          <w:szCs w:val="32"/>
        </w:rPr>
        <w:t>地</w:t>
      </w:r>
      <w:r>
        <w:rPr>
          <w:rFonts w:hint="eastAsia" w:ascii="仿宋" w:hAnsi="仿宋" w:eastAsia="仿宋" w:cs="仿宋_GB2312"/>
          <w:color w:val="auto"/>
          <w:kern w:val="0"/>
          <w:sz w:val="32"/>
          <w:szCs w:val="32"/>
        </w:rPr>
        <w:t>址/</w:t>
      </w:r>
      <w:r>
        <w:rPr>
          <w:rFonts w:hint="eastAsia" w:ascii="仿宋" w:hAnsi="仿宋" w:eastAsia="仿宋" w:cs="微软雅黑"/>
          <w:color w:val="auto"/>
          <w:kern w:val="0"/>
          <w:sz w:val="32"/>
          <w:szCs w:val="32"/>
        </w:rPr>
        <w:t>域</w:t>
      </w:r>
      <w:r>
        <w:rPr>
          <w:rFonts w:hint="eastAsia" w:ascii="仿宋" w:hAnsi="仿宋" w:eastAsia="仿宋" w:cs="___WRD_EMBED_SUB_39"/>
          <w:color w:val="auto"/>
          <w:kern w:val="0"/>
          <w:sz w:val="32"/>
          <w:szCs w:val="32"/>
        </w:rPr>
        <w:t>名信息备案管理系统”的备案</w:t>
      </w:r>
      <w:r>
        <w:rPr>
          <w:rFonts w:hint="eastAsia" w:ascii="仿宋" w:hAnsi="仿宋" w:eastAsia="仿宋" w:cs="微软雅黑"/>
          <w:color w:val="auto"/>
          <w:kern w:val="0"/>
          <w:sz w:val="32"/>
          <w:szCs w:val="32"/>
        </w:rPr>
        <w:t>号</w:t>
      </w:r>
      <w:r>
        <w:rPr>
          <w:rFonts w:hint="eastAsia" w:ascii="仿宋" w:hAnsi="仿宋" w:eastAsia="仿宋" w:cs="___WRD_EMBED_SUB_39"/>
          <w:color w:val="auto"/>
          <w:kern w:val="0"/>
          <w:sz w:val="32"/>
          <w:szCs w:val="32"/>
        </w:rPr>
        <w:t>和公安部“全国互联网安全管理服务平</w:t>
      </w:r>
      <w:r>
        <w:rPr>
          <w:rFonts w:hint="eastAsia" w:ascii="仿宋" w:hAnsi="仿宋" w:eastAsia="仿宋" w:cs="微软雅黑"/>
          <w:color w:val="auto"/>
          <w:kern w:val="0"/>
          <w:sz w:val="32"/>
          <w:szCs w:val="32"/>
        </w:rPr>
        <w:t>台</w:t>
      </w:r>
      <w:r>
        <w:rPr>
          <w:rFonts w:hint="eastAsia" w:ascii="仿宋" w:hAnsi="仿宋" w:eastAsia="仿宋" w:cs="___WRD_EMBED_SUB_39"/>
          <w:color w:val="auto"/>
          <w:kern w:val="0"/>
          <w:sz w:val="32"/>
          <w:szCs w:val="32"/>
        </w:rPr>
        <w:t>”的备案</w:t>
      </w:r>
      <w:r>
        <w:rPr>
          <w:rFonts w:hint="eastAsia" w:ascii="仿宋" w:hAnsi="仿宋" w:eastAsia="仿宋" w:cs="微软雅黑"/>
          <w:color w:val="auto"/>
          <w:kern w:val="0"/>
          <w:sz w:val="32"/>
          <w:szCs w:val="32"/>
        </w:rPr>
        <w:t>号</w:t>
      </w:r>
      <w:r>
        <w:rPr>
          <w:rFonts w:hint="eastAsia" w:ascii="仿宋" w:hAnsi="仿宋" w:eastAsia="仿宋" w:cs="___WRD_EMBED_SUB_39"/>
          <w:color w:val="auto"/>
          <w:kern w:val="0"/>
          <w:sz w:val="32"/>
          <w:szCs w:val="32"/>
        </w:rPr>
        <w:t>，供应商应为</w:t>
      </w:r>
      <w:r>
        <w:rPr>
          <w:rFonts w:hint="eastAsia" w:ascii="仿宋" w:hAnsi="仿宋" w:eastAsia="仿宋" w:cs="微软雅黑"/>
          <w:color w:val="auto"/>
          <w:kern w:val="0"/>
          <w:sz w:val="32"/>
          <w:szCs w:val="32"/>
        </w:rPr>
        <w:t>电子</w:t>
      </w:r>
      <w:r>
        <w:rPr>
          <w:rFonts w:hint="eastAsia" w:ascii="仿宋" w:hAnsi="仿宋" w:eastAsia="仿宋" w:cs="仿宋_GB2312"/>
          <w:color w:val="auto"/>
          <w:kern w:val="0"/>
          <w:sz w:val="32"/>
          <w:szCs w:val="32"/>
        </w:rPr>
        <w:t>商务平</w:t>
      </w:r>
      <w:r>
        <w:rPr>
          <w:rFonts w:hint="eastAsia" w:ascii="仿宋" w:hAnsi="仿宋" w:eastAsia="仿宋" w:cs="微软雅黑"/>
          <w:color w:val="auto"/>
          <w:kern w:val="0"/>
          <w:sz w:val="32"/>
          <w:szCs w:val="32"/>
        </w:rPr>
        <w:t>台</w:t>
      </w:r>
      <w:r>
        <w:rPr>
          <w:rFonts w:hint="eastAsia" w:ascii="仿宋" w:hAnsi="仿宋" w:eastAsia="仿宋" w:cs="___WRD_EMBED_SUB_39"/>
          <w:color w:val="auto"/>
          <w:kern w:val="0"/>
          <w:sz w:val="32"/>
          <w:szCs w:val="32"/>
        </w:rPr>
        <w:t>的主办</w:t>
      </w:r>
      <w:r>
        <w:rPr>
          <w:rFonts w:hint="eastAsia" w:ascii="仿宋" w:hAnsi="仿宋" w:eastAsia="仿宋" w:cs="仿宋_GB2312"/>
          <w:color w:val="auto"/>
          <w:kern w:val="0"/>
          <w:sz w:val="32"/>
          <w:szCs w:val="32"/>
        </w:rPr>
        <w:t>单位，或者与</w:t>
      </w:r>
      <w:r>
        <w:rPr>
          <w:rFonts w:hint="eastAsia" w:ascii="仿宋" w:hAnsi="仿宋" w:eastAsia="仿宋" w:cs="微软雅黑"/>
          <w:color w:val="auto"/>
          <w:kern w:val="0"/>
          <w:sz w:val="32"/>
          <w:szCs w:val="32"/>
        </w:rPr>
        <w:t>电子</w:t>
      </w:r>
      <w:r>
        <w:rPr>
          <w:rFonts w:hint="eastAsia" w:ascii="仿宋" w:hAnsi="仿宋" w:eastAsia="仿宋" w:cs="仿宋_GB2312"/>
          <w:color w:val="auto"/>
          <w:kern w:val="0"/>
          <w:sz w:val="32"/>
          <w:szCs w:val="32"/>
        </w:rPr>
        <w:t>商务平</w:t>
      </w:r>
      <w:r>
        <w:rPr>
          <w:rFonts w:hint="eastAsia" w:ascii="仿宋" w:hAnsi="仿宋" w:eastAsia="仿宋" w:cs="微软雅黑"/>
          <w:color w:val="auto"/>
          <w:kern w:val="0"/>
          <w:sz w:val="32"/>
          <w:szCs w:val="32"/>
        </w:rPr>
        <w:t>台</w:t>
      </w:r>
      <w:r>
        <w:rPr>
          <w:rFonts w:hint="eastAsia" w:ascii="仿宋" w:hAnsi="仿宋" w:eastAsia="仿宋" w:cs="___WRD_EMBED_SUB_39"/>
          <w:color w:val="auto"/>
          <w:kern w:val="0"/>
          <w:sz w:val="32"/>
          <w:szCs w:val="32"/>
        </w:rPr>
        <w:t>主办单位</w:t>
      </w:r>
      <w:r>
        <w:rPr>
          <w:rFonts w:hint="eastAsia" w:ascii="仿宋" w:hAnsi="仿宋" w:eastAsia="仿宋" w:cs="微软雅黑"/>
          <w:color w:val="auto"/>
          <w:kern w:val="0"/>
          <w:sz w:val="32"/>
          <w:szCs w:val="32"/>
        </w:rPr>
        <w:t>属</w:t>
      </w:r>
      <w:r>
        <w:rPr>
          <w:rFonts w:hint="eastAsia" w:ascii="仿宋" w:hAnsi="仿宋" w:eastAsia="仿宋" w:cs="___WRD_EMBED_SUB_39"/>
          <w:color w:val="auto"/>
          <w:kern w:val="0"/>
          <w:sz w:val="32"/>
          <w:szCs w:val="32"/>
        </w:rPr>
        <w:t>于同一法人或</w:t>
      </w:r>
      <w:r>
        <w:rPr>
          <w:rFonts w:hint="eastAsia" w:ascii="仿宋" w:hAnsi="仿宋" w:eastAsia="仿宋" w:cs="仿宋_GB2312"/>
          <w:color w:val="auto"/>
          <w:kern w:val="0"/>
          <w:sz w:val="32"/>
          <w:szCs w:val="32"/>
        </w:rPr>
        <w:t>同一集</w:t>
      </w:r>
      <w:r>
        <w:rPr>
          <w:rFonts w:hint="eastAsia" w:ascii="仿宋" w:hAnsi="仿宋" w:eastAsia="仿宋" w:cs="微软雅黑"/>
          <w:color w:val="auto"/>
          <w:kern w:val="0"/>
          <w:sz w:val="32"/>
          <w:szCs w:val="32"/>
        </w:rPr>
        <w:t>团</w:t>
      </w:r>
      <w:r>
        <w:rPr>
          <w:rFonts w:hint="eastAsia" w:ascii="仿宋" w:hAnsi="仿宋" w:eastAsia="仿宋" w:cs="___WRD_EMBED_SUB_39"/>
          <w:color w:val="auto"/>
          <w:kern w:val="0"/>
          <w:sz w:val="32"/>
          <w:szCs w:val="32"/>
        </w:rPr>
        <w:t>公</w:t>
      </w:r>
      <w:r>
        <w:rPr>
          <w:rFonts w:hint="eastAsia" w:ascii="仿宋" w:hAnsi="仿宋" w:eastAsia="仿宋" w:cs="微软雅黑"/>
          <w:color w:val="auto"/>
          <w:kern w:val="0"/>
          <w:sz w:val="32"/>
          <w:szCs w:val="32"/>
        </w:rPr>
        <w:t>司</w:t>
      </w:r>
      <w:r>
        <w:rPr>
          <w:rFonts w:hint="eastAsia" w:ascii="仿宋" w:hAnsi="仿宋" w:eastAsia="仿宋" w:cs="仿宋_GB2312"/>
          <w:color w:val="auto"/>
          <w:kern w:val="0"/>
          <w:sz w:val="32"/>
          <w:szCs w:val="32"/>
        </w:rPr>
        <w:t>。</w:t>
      </w:r>
    </w:p>
    <w:p>
      <w:pPr>
        <w:ind w:firstLine="640" w:firstLineChars="200"/>
        <w:jc w:val="left"/>
        <w:rPr>
          <w:rFonts w:ascii="仿宋" w:hAnsi="仿宋" w:eastAsia="仿宋" w:cs="___WRD_EMBED_SUB_42"/>
          <w:color w:val="auto"/>
          <w:kern w:val="0"/>
          <w:sz w:val="32"/>
          <w:szCs w:val="32"/>
        </w:rPr>
      </w:pPr>
      <w:r>
        <w:rPr>
          <w:rFonts w:ascii="仿宋" w:hAnsi="仿宋" w:eastAsia="仿宋" w:cs="___WRD_EMBED_SUB_42"/>
          <w:color w:val="auto"/>
          <w:kern w:val="0"/>
          <w:sz w:val="32"/>
          <w:szCs w:val="32"/>
        </w:rPr>
        <w:t>2.</w:t>
      </w:r>
      <w:r>
        <w:rPr>
          <w:rFonts w:hint="eastAsia" w:ascii="仿宋" w:hAnsi="仿宋" w:eastAsia="仿宋" w:cs="___WRD_EMBED_SUB_42"/>
          <w:color w:val="auto"/>
          <w:kern w:val="0"/>
          <w:sz w:val="32"/>
          <w:szCs w:val="32"/>
        </w:rPr>
        <w:t>应具备完善的网络安全管理制度规范，配备专业技术力量，采取有效的技术安全防范措施，能够保障电子商务平台安全、稳定运行，有效应对网络安全事件，防范网络违法犯罪活动，保障数据信息的完整性、保密性和可用性。电子商务平台应通过网络安全等级保护二级及以上测评，提供有效期内等保定级备案证明及测评报告。每两年更新等保测评报告。</w:t>
      </w:r>
    </w:p>
    <w:p>
      <w:pPr>
        <w:ind w:firstLine="640" w:firstLineChars="200"/>
        <w:jc w:val="left"/>
        <w:rPr>
          <w:rFonts w:ascii="仿宋_GB2312" w:eastAsia="仿宋_GB2312"/>
          <w:color w:val="auto"/>
          <w:kern w:val="0"/>
          <w:sz w:val="32"/>
          <w:szCs w:val="32"/>
        </w:rPr>
      </w:pPr>
      <w:r>
        <w:rPr>
          <w:rFonts w:hint="eastAsia" w:ascii="仿宋" w:hAnsi="仿宋" w:eastAsia="仿宋" w:cs="___WRD_EMBED_SUB_42"/>
          <w:color w:val="auto"/>
          <w:kern w:val="0"/>
          <w:sz w:val="32"/>
          <w:szCs w:val="32"/>
        </w:rPr>
        <w:t>3.</w:t>
      </w:r>
      <w:r>
        <w:rPr>
          <w:rFonts w:hint="eastAsia" w:ascii="仿宋_GB2312" w:eastAsia="仿宋_GB2312"/>
          <w:color w:val="auto"/>
          <w:kern w:val="0"/>
          <w:sz w:val="32"/>
          <w:szCs w:val="32"/>
        </w:rPr>
        <w:t>按照新版商城发布的接口规范进行电商系统对接，推送符合新版商城统一的标准结构化商品参数信息，商城系统将强制校验参数有效性。</w:t>
      </w:r>
    </w:p>
    <w:p>
      <w:pPr>
        <w:ind w:firstLine="640" w:firstLineChars="200"/>
        <w:jc w:val="left"/>
        <w:rPr>
          <w:rFonts w:ascii="仿宋_GB2312" w:eastAsia="仿宋_GB2312"/>
          <w:color w:val="auto"/>
          <w:sz w:val="32"/>
          <w:szCs w:val="32"/>
        </w:rPr>
      </w:pPr>
      <w:r>
        <w:rPr>
          <w:rFonts w:hint="eastAsia" w:ascii="仿宋_GB2312" w:eastAsia="仿宋_GB2312"/>
          <w:color w:val="auto"/>
          <w:kern w:val="0"/>
          <w:sz w:val="32"/>
          <w:szCs w:val="32"/>
        </w:rPr>
        <w:t>4.电商参与新版商城项目交易，必须安排本单位专人负责订单管理，通过登录商城系统，对采购人下达的订单进行逐笔确认操作，不得脱离商城确认订单。</w:t>
      </w: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___WRD_EMBED_SUB_42">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___WRD_EMBED_SUB_39">
    <w:altName w:val="黑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YzY0YzhmZjcxZjgzMjI5ODg0ODg2NDlkNWVkZjgifQ=="/>
  </w:docVars>
  <w:rsids>
    <w:rsidRoot w:val="00995B54"/>
    <w:rsid w:val="000934ED"/>
    <w:rsid w:val="001F19CA"/>
    <w:rsid w:val="001F378A"/>
    <w:rsid w:val="00314AA8"/>
    <w:rsid w:val="00314ECC"/>
    <w:rsid w:val="003766E5"/>
    <w:rsid w:val="003F12AA"/>
    <w:rsid w:val="00420434"/>
    <w:rsid w:val="00454C9E"/>
    <w:rsid w:val="00466312"/>
    <w:rsid w:val="00491703"/>
    <w:rsid w:val="00525993"/>
    <w:rsid w:val="00573BD8"/>
    <w:rsid w:val="00595678"/>
    <w:rsid w:val="005A25F5"/>
    <w:rsid w:val="005B01F7"/>
    <w:rsid w:val="005D6149"/>
    <w:rsid w:val="006247A1"/>
    <w:rsid w:val="00673CDC"/>
    <w:rsid w:val="006807C6"/>
    <w:rsid w:val="00681ADA"/>
    <w:rsid w:val="006A2A36"/>
    <w:rsid w:val="006A350B"/>
    <w:rsid w:val="006C14D8"/>
    <w:rsid w:val="006F0756"/>
    <w:rsid w:val="007166F9"/>
    <w:rsid w:val="00730B2C"/>
    <w:rsid w:val="007C085A"/>
    <w:rsid w:val="007C7F60"/>
    <w:rsid w:val="0081700B"/>
    <w:rsid w:val="0084105C"/>
    <w:rsid w:val="008717C8"/>
    <w:rsid w:val="008A078A"/>
    <w:rsid w:val="008B23F6"/>
    <w:rsid w:val="008B6D25"/>
    <w:rsid w:val="008F44E4"/>
    <w:rsid w:val="009865EE"/>
    <w:rsid w:val="00995B54"/>
    <w:rsid w:val="009F30A6"/>
    <w:rsid w:val="00A57E53"/>
    <w:rsid w:val="00AA6114"/>
    <w:rsid w:val="00AC452E"/>
    <w:rsid w:val="00AC5D61"/>
    <w:rsid w:val="00B62356"/>
    <w:rsid w:val="00BA6A23"/>
    <w:rsid w:val="00BF183E"/>
    <w:rsid w:val="00BF65D0"/>
    <w:rsid w:val="00C244C5"/>
    <w:rsid w:val="00C8105B"/>
    <w:rsid w:val="00CD5A3F"/>
    <w:rsid w:val="00CE4206"/>
    <w:rsid w:val="00D9376A"/>
    <w:rsid w:val="00DC02E5"/>
    <w:rsid w:val="00DE1D7C"/>
    <w:rsid w:val="00E22176"/>
    <w:rsid w:val="00E37CE8"/>
    <w:rsid w:val="00E50F5F"/>
    <w:rsid w:val="00E75A86"/>
    <w:rsid w:val="00E8538C"/>
    <w:rsid w:val="00EC1B21"/>
    <w:rsid w:val="00F130AB"/>
    <w:rsid w:val="00FA288C"/>
    <w:rsid w:val="00FE4F59"/>
    <w:rsid w:val="235779CE"/>
    <w:rsid w:val="2F4D6502"/>
    <w:rsid w:val="66E51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12"/>
    <w:autoRedefine/>
    <w:semiHidden/>
    <w:unhideWhenUsed/>
    <w:qFormat/>
    <w:uiPriority w:val="99"/>
    <w:pPr>
      <w:spacing w:after="120"/>
    </w:p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5"/>
    <w:semiHidden/>
    <w:unhideWhenUsed/>
    <w:uiPriority w:val="99"/>
    <w:rPr>
      <w:sz w:val="18"/>
      <w:szCs w:val="18"/>
    </w:rPr>
  </w:style>
  <w:style w:type="paragraph" w:styleId="5">
    <w:name w:val="footer"/>
    <w:basedOn w:val="1"/>
    <w:link w:val="17"/>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link w:val="13"/>
    <w:qFormat/>
    <w:uiPriority w:val="0"/>
    <w:pPr>
      <w:spacing w:after="0"/>
      <w:ind w:firstLine="420" w:firstLineChars="100"/>
    </w:pPr>
    <w:rPr>
      <w:rFonts w:eastAsia="楷体_GB2312"/>
      <w:sz w:val="24"/>
      <w:szCs w:val="20"/>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正文文本 Char"/>
    <w:basedOn w:val="11"/>
    <w:link w:val="2"/>
    <w:semiHidden/>
    <w:uiPriority w:val="99"/>
  </w:style>
  <w:style w:type="character" w:customStyle="1" w:styleId="13">
    <w:name w:val="正文首行缩进 Char"/>
    <w:basedOn w:val="12"/>
    <w:link w:val="8"/>
    <w:uiPriority w:val="0"/>
    <w:rPr>
      <w:rFonts w:eastAsia="楷体_GB2312"/>
      <w:sz w:val="24"/>
      <w:szCs w:val="20"/>
    </w:rPr>
  </w:style>
  <w:style w:type="character" w:customStyle="1" w:styleId="14">
    <w:name w:val="日期 Char"/>
    <w:basedOn w:val="11"/>
    <w:link w:val="3"/>
    <w:autoRedefine/>
    <w:semiHidden/>
    <w:qFormat/>
    <w:uiPriority w:val="99"/>
  </w:style>
  <w:style w:type="character" w:customStyle="1" w:styleId="15">
    <w:name w:val="批注框文本 Char"/>
    <w:basedOn w:val="11"/>
    <w:link w:val="4"/>
    <w:semiHidden/>
    <w:uiPriority w:val="99"/>
    <w:rPr>
      <w:kern w:val="2"/>
      <w:sz w:val="18"/>
      <w:szCs w:val="18"/>
    </w:rPr>
  </w:style>
  <w:style w:type="character" w:customStyle="1" w:styleId="16">
    <w:name w:val="页眉 Char"/>
    <w:basedOn w:val="11"/>
    <w:link w:val="6"/>
    <w:uiPriority w:val="99"/>
    <w:rPr>
      <w:kern w:val="2"/>
      <w:sz w:val="18"/>
      <w:szCs w:val="18"/>
    </w:rPr>
  </w:style>
  <w:style w:type="character" w:customStyle="1" w:styleId="17">
    <w:name w:val="页脚 Char"/>
    <w:basedOn w:val="11"/>
    <w:link w:val="5"/>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5</Pages>
  <Words>265</Words>
  <Characters>1514</Characters>
  <Lines>12</Lines>
  <Paragraphs>3</Paragraphs>
  <TotalTime>88</TotalTime>
  <ScaleCrop>false</ScaleCrop>
  <LinksUpToDate>false</LinksUpToDate>
  <CharactersWithSpaces>1776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2024-01-08T05:06:00Z</dcterms:created>
  <dc:creator>lenovo</dc:creator>
  <cp:lastModifiedBy>慧崽</cp:lastModifiedBy>
  <dcterms:modified xsi:type="dcterms:W3CDTF">2024-01-10T08:08:55Z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33E906CD5181470FADF0D4F1AD54B641_12</vt:lpwstr>
  </property>
</Properties>
</file>